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F9" w:rsidRPr="00351A06" w:rsidRDefault="007E7EF9" w:rsidP="00A13A18">
      <w:pPr>
        <w:pStyle w:val="Heading1"/>
      </w:pPr>
      <w:r w:rsidRPr="009F4CFC">
        <w:t>Introduction and Scope of Work</w:t>
      </w:r>
      <w:r>
        <w:t xml:space="preserve"> </w:t>
      </w:r>
    </w:p>
    <w:p w:rsidR="007E7EF9" w:rsidRDefault="007E7EF9" w:rsidP="00FE7DF6">
      <w:pPr>
        <w:autoSpaceDE w:val="0"/>
        <w:autoSpaceDN w:val="0"/>
        <w:adjustRightInd w:val="0"/>
        <w:ind w:left="576"/>
        <w:rPr>
          <w:rFonts w:eastAsia="Calibri"/>
          <w:b/>
          <w:bCs/>
          <w:iCs/>
          <w:color w:val="000000"/>
          <w:szCs w:val="24"/>
        </w:rPr>
      </w:pPr>
      <w:bookmarkStart w:id="0" w:name="_Toc310625035"/>
      <w:bookmarkStart w:id="1" w:name="_Toc314609198"/>
    </w:p>
    <w:p w:rsidR="007E7EF9" w:rsidRPr="00A20936" w:rsidRDefault="007E7EF9" w:rsidP="00931FD1">
      <w:pPr>
        <w:pStyle w:val="Heading2"/>
      </w:pPr>
      <w:bookmarkStart w:id="2" w:name="_Ref514717355"/>
      <w:bookmarkStart w:id="3" w:name="_Toc520471111"/>
      <w:r>
        <w:t>Introduction</w:t>
      </w:r>
      <w:bookmarkEnd w:id="2"/>
      <w:bookmarkEnd w:id="3"/>
    </w:p>
    <w:p w:rsidR="007E7EF9" w:rsidRDefault="007E7EF9" w:rsidP="00FC05D8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E90891">
        <w:rPr>
          <w:rFonts w:eastAsia="Calibri"/>
          <w:szCs w:val="24"/>
        </w:rPr>
        <w:t>The National High Traffic Safety Administration (NHTSA) seat</w:t>
      </w:r>
      <w:r>
        <w:rPr>
          <w:rFonts w:eastAsia="Calibri"/>
          <w:szCs w:val="24"/>
        </w:rPr>
        <w:t>ing systems</w:t>
      </w:r>
      <w:r w:rsidRPr="00E90891">
        <w:rPr>
          <w:rFonts w:eastAsia="Calibri"/>
          <w:szCs w:val="24"/>
        </w:rPr>
        <w:t xml:space="preserve"> standard, Federal Motor</w:t>
      </w:r>
      <w:r>
        <w:rPr>
          <w:rFonts w:eastAsia="Calibri"/>
          <w:szCs w:val="24"/>
        </w:rPr>
        <w:t xml:space="preserve"> </w:t>
      </w:r>
      <w:r w:rsidRPr="00E90891">
        <w:rPr>
          <w:rFonts w:eastAsia="Calibri"/>
          <w:szCs w:val="24"/>
        </w:rPr>
        <w:t xml:space="preserve">Vehicle Safety Standard (FMVSS) No. 207, </w:t>
      </w:r>
      <w:r>
        <w:rPr>
          <w:rFonts w:eastAsia="Calibri"/>
          <w:szCs w:val="24"/>
        </w:rPr>
        <w:t xml:space="preserve">has a rearward seat strength portion that </w:t>
      </w:r>
      <w:r w:rsidRPr="00E90891">
        <w:rPr>
          <w:rFonts w:eastAsia="Calibri"/>
          <w:szCs w:val="24"/>
        </w:rPr>
        <w:t>is derived from the Society of Autom</w:t>
      </w:r>
      <w:r>
        <w:rPr>
          <w:rFonts w:eastAsia="Calibri"/>
          <w:szCs w:val="24"/>
        </w:rPr>
        <w:t xml:space="preserve">otive </w:t>
      </w:r>
      <w:r w:rsidRPr="00E90891">
        <w:rPr>
          <w:rFonts w:eastAsia="Calibri"/>
          <w:szCs w:val="24"/>
        </w:rPr>
        <w:t>Engineers (SAE) Recommended Practice J879 (1963).</w:t>
      </w:r>
      <w:r>
        <w:rPr>
          <w:rFonts w:eastAsia="Calibri"/>
          <w:szCs w:val="24"/>
        </w:rPr>
        <w:t xml:space="preserve"> The </w:t>
      </w:r>
      <w:r w:rsidRPr="00341B33">
        <w:rPr>
          <w:rFonts w:eastAsia="Calibri"/>
          <w:szCs w:val="24"/>
        </w:rPr>
        <w:t>procedures and requirements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for the s</w:t>
      </w:r>
      <w:r>
        <w:rPr>
          <w:rFonts w:eastAsia="Calibri"/>
          <w:szCs w:val="24"/>
        </w:rPr>
        <w:t>tatic strength of seat backs have</w:t>
      </w:r>
      <w:r w:rsidRPr="00341B33">
        <w:rPr>
          <w:rFonts w:eastAsia="Calibri"/>
          <w:szCs w:val="24"/>
        </w:rPr>
        <w:t xml:space="preserve"> not been significantly updated since </w:t>
      </w:r>
      <w:r>
        <w:rPr>
          <w:rFonts w:eastAsia="Calibri"/>
          <w:szCs w:val="24"/>
        </w:rPr>
        <w:t>it</w:t>
      </w:r>
      <w:r w:rsidRPr="00341B33">
        <w:rPr>
          <w:rFonts w:eastAsia="Calibri"/>
          <w:szCs w:val="24"/>
        </w:rPr>
        <w:t xml:space="preserve"> went into force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in 1968.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Over the years, NHTSA has been petitioned to revise the provision in the standard that dictates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the strength of the seat back in the rearward direction. Through the 1990s and into the early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2000s, an upgrade to the seat back standard was considered by NHTSA. During this period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NHTSA reviewed research on this topic with widely varying opinions on the desirability of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increased seat back strength. In addition, NHTSA funded and performed its own research into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the topic, most recently in a series of studies published in the early 2000s. (Saunders, ESV 2001</w:t>
      </w:r>
      <w:r>
        <w:rPr>
          <w:rFonts w:eastAsia="Calibri"/>
          <w:szCs w:val="24"/>
        </w:rPr>
        <w:t xml:space="preserve"> and 2003; Kuppa, SAE 2003</w:t>
      </w:r>
      <w:r>
        <w:rPr>
          <w:rStyle w:val="FootnoteReference"/>
          <w:rFonts w:eastAsia="Calibri"/>
          <w:szCs w:val="24"/>
        </w:rPr>
        <w:footnoteReference w:id="1"/>
      </w:r>
      <w:r w:rsidRPr="00341B33">
        <w:rPr>
          <w:rFonts w:eastAsia="Calibri"/>
          <w:szCs w:val="24"/>
        </w:rPr>
        <w:t>; for other relevant reports, see</w:t>
      </w:r>
      <w:r>
        <w:rPr>
          <w:rFonts w:eastAsia="Calibri"/>
          <w:szCs w:val="24"/>
        </w:rPr>
        <w:t xml:space="preserve"> docket folder NHTSA-1998-4064</w:t>
      </w:r>
      <w:r>
        <w:rPr>
          <w:rStyle w:val="FootnoteReference"/>
          <w:rFonts w:eastAsia="Calibri"/>
          <w:szCs w:val="24"/>
        </w:rPr>
        <w:footnoteReference w:id="2"/>
      </w:r>
      <w:r>
        <w:rPr>
          <w:rFonts w:eastAsia="Calibri"/>
          <w:szCs w:val="24"/>
        </w:rPr>
        <w:t xml:space="preserve">). </w:t>
      </w:r>
      <w:r w:rsidRPr="00341B33">
        <w:rPr>
          <w:rFonts w:eastAsia="Calibri"/>
          <w:szCs w:val="24"/>
        </w:rPr>
        <w:t>NHTSA considered options to revise the standard by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>raising the strength requirement in the</w:t>
      </w:r>
      <w:r>
        <w:rPr>
          <w:rFonts w:eastAsia="Calibri"/>
          <w:szCs w:val="24"/>
        </w:rPr>
        <w:t xml:space="preserve"> </w:t>
      </w:r>
      <w:r w:rsidRPr="00341B33">
        <w:rPr>
          <w:rFonts w:eastAsia="Calibri"/>
          <w:szCs w:val="24"/>
        </w:rPr>
        <w:t xml:space="preserve">rearward static test and introducing a dynamic </w:t>
      </w:r>
      <w:r>
        <w:rPr>
          <w:rFonts w:eastAsia="Calibri"/>
          <w:szCs w:val="24"/>
        </w:rPr>
        <w:t>r</w:t>
      </w:r>
      <w:r w:rsidRPr="00341B33">
        <w:rPr>
          <w:rFonts w:eastAsia="Calibri"/>
          <w:szCs w:val="24"/>
        </w:rPr>
        <w:t>equirement.</w:t>
      </w:r>
      <w:r w:rsidRPr="009575CC">
        <w:rPr>
          <w:rFonts w:eastAsia="Calibri"/>
          <w:szCs w:val="24"/>
        </w:rPr>
        <w:t xml:space="preserve"> </w:t>
      </w:r>
    </w:p>
    <w:p w:rsidR="007E7EF9" w:rsidRDefault="007E7EF9" w:rsidP="003C422E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7EF9" w:rsidRDefault="007E7EF9" w:rsidP="00FC05D8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D5128">
        <w:rPr>
          <w:rFonts w:eastAsia="Calibri"/>
          <w:szCs w:val="24"/>
        </w:rPr>
        <w:t>As a point of reference, NHTSA also has a separate standard for head restraints, FMVSS No.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202a, that mitigates whiplash injuries in rear end crashes</w:t>
      </w:r>
      <w:r>
        <w:rPr>
          <w:rFonts w:eastAsia="Calibri"/>
          <w:szCs w:val="24"/>
        </w:rPr>
        <w:t>. It was published in 2004 and was</w:t>
      </w:r>
      <w:r w:rsidRPr="006D5128">
        <w:rPr>
          <w:rFonts w:eastAsia="Calibri"/>
          <w:szCs w:val="24"/>
        </w:rPr>
        <w:t xml:space="preserve"> phased in over the 2010 and 2011 model years. The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revised head restraint standard assures a minimum level of safety under a low speed rear impulse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(9 G, 17.3 km/hr.).</w:t>
      </w:r>
    </w:p>
    <w:p w:rsidR="007E7EF9" w:rsidRPr="006D5128" w:rsidRDefault="007E7EF9" w:rsidP="003C422E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7EF9" w:rsidRDefault="007E7EF9" w:rsidP="003C422E">
      <w:pPr>
        <w:autoSpaceDE w:val="0"/>
        <w:autoSpaceDN w:val="0"/>
        <w:adjustRightInd w:val="0"/>
        <w:rPr>
          <w:rFonts w:eastAsia="Calibri"/>
          <w:szCs w:val="24"/>
        </w:rPr>
      </w:pPr>
      <w:r>
        <w:rPr>
          <w:rFonts w:eastAsia="Calibri"/>
          <w:szCs w:val="24"/>
        </w:rPr>
        <w:t>NHTSA has</w:t>
      </w:r>
      <w:r w:rsidRPr="006D5128">
        <w:rPr>
          <w:rFonts w:eastAsia="Calibri"/>
          <w:szCs w:val="24"/>
        </w:rPr>
        <w:t xml:space="preserve"> continued </w:t>
      </w:r>
      <w:r>
        <w:rPr>
          <w:rFonts w:eastAsia="Calibri"/>
          <w:szCs w:val="24"/>
        </w:rPr>
        <w:t>investigation</w:t>
      </w:r>
      <w:r w:rsidRPr="006D5128">
        <w:rPr>
          <w:rFonts w:eastAsia="Calibri"/>
          <w:szCs w:val="24"/>
        </w:rPr>
        <w:t xml:space="preserve"> in a possible upgrade to the seat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back standard. Since 2004, NHTSA now has a better understanding of whiplash, a more mature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physical test tool (Bio</w:t>
      </w:r>
      <w:r>
        <w:rPr>
          <w:rFonts w:eastAsia="Calibri"/>
          <w:szCs w:val="24"/>
        </w:rPr>
        <w:t>-</w:t>
      </w:r>
      <w:r w:rsidRPr="006D5128">
        <w:rPr>
          <w:rFonts w:eastAsia="Calibri"/>
          <w:szCs w:val="24"/>
        </w:rPr>
        <w:t xml:space="preserve">RID </w:t>
      </w:r>
      <w:r>
        <w:rPr>
          <w:rFonts w:eastAsia="Calibri"/>
          <w:szCs w:val="24"/>
        </w:rPr>
        <w:t>I</w:t>
      </w:r>
      <w:r w:rsidRPr="006D5128">
        <w:rPr>
          <w:rFonts w:eastAsia="Calibri"/>
          <w:szCs w:val="24"/>
        </w:rPr>
        <w:t>I), better computational models than were available circa 2004, and</w:t>
      </w:r>
      <w:r>
        <w:rPr>
          <w:rFonts w:eastAsia="Calibri"/>
          <w:szCs w:val="24"/>
        </w:rPr>
        <w:t xml:space="preserve"> </w:t>
      </w:r>
      <w:r w:rsidRPr="006D5128">
        <w:rPr>
          <w:rFonts w:eastAsia="Calibri"/>
          <w:szCs w:val="24"/>
        </w:rPr>
        <w:t>seats designed specifically for compliance with 2004 head restraint upgrade.</w:t>
      </w:r>
    </w:p>
    <w:p w:rsidR="007E7EF9" w:rsidRDefault="007E7EF9" w:rsidP="003C422E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7EF9" w:rsidRPr="00BD3FF9" w:rsidRDefault="007E7EF9" w:rsidP="00931FD1">
      <w:pPr>
        <w:pStyle w:val="Heading2"/>
      </w:pPr>
      <w:bookmarkStart w:id="4" w:name="_Toc520471112"/>
      <w:r>
        <w:t>Program Tasks Summary</w:t>
      </w:r>
      <w:bookmarkEnd w:id="4"/>
    </w:p>
    <w:bookmarkEnd w:id="0"/>
    <w:bookmarkEnd w:id="1"/>
    <w:p w:rsidR="007E7EF9" w:rsidRDefault="007E7EF9" w:rsidP="003807AC">
      <w:pPr>
        <w:autoSpaceDE w:val="0"/>
        <w:autoSpaceDN w:val="0"/>
        <w:adjustRightInd w:val="0"/>
        <w:rPr>
          <w:szCs w:val="24"/>
        </w:rPr>
      </w:pPr>
      <w:r w:rsidRPr="00584E28">
        <w:rPr>
          <w:szCs w:val="24"/>
        </w:rPr>
        <w:t>The</w:t>
      </w:r>
      <w:r>
        <w:rPr>
          <w:szCs w:val="24"/>
        </w:rPr>
        <w:t xml:space="preserve"> objective of this Task Order </w:t>
      </w:r>
      <w:r w:rsidRPr="008E464E">
        <w:rPr>
          <w:szCs w:val="24"/>
        </w:rPr>
        <w:t>is twofold:</w:t>
      </w:r>
    </w:p>
    <w:p w:rsidR="007E7EF9" w:rsidRPr="003807AC" w:rsidRDefault="007E7EF9" w:rsidP="007E7EF9">
      <w:pPr>
        <w:pStyle w:val="ListParagraph"/>
        <w:numPr>
          <w:ilvl w:val="0"/>
          <w:numId w:val="3"/>
        </w:numPr>
        <w:autoSpaceDE w:val="0"/>
        <w:autoSpaceDN w:val="0"/>
        <w:rPr>
          <w:szCs w:val="24"/>
        </w:rPr>
      </w:pPr>
      <w:r>
        <w:rPr>
          <w:szCs w:val="24"/>
        </w:rPr>
        <w:t xml:space="preserve">To develop </w:t>
      </w:r>
      <w:r w:rsidRPr="003807AC">
        <w:rPr>
          <w:szCs w:val="24"/>
        </w:rPr>
        <w:t>finite element model</w:t>
      </w:r>
      <w:r>
        <w:rPr>
          <w:szCs w:val="24"/>
        </w:rPr>
        <w:t>s</w:t>
      </w:r>
      <w:r w:rsidRPr="003807AC">
        <w:rPr>
          <w:szCs w:val="24"/>
        </w:rPr>
        <w:t xml:space="preserve"> to represent typical seat capable of simulating occupant kinematics and injury performance measures in rear impact in a longitudinal direction, and capable of responding to incremental impulses spanning from 17 km/hr. up to 40 km/hr.</w:t>
      </w:r>
    </w:p>
    <w:p w:rsidR="007E7EF9" w:rsidRPr="003807AC" w:rsidRDefault="007E7EF9" w:rsidP="007E7EF9">
      <w:pPr>
        <w:pStyle w:val="ListParagraph"/>
        <w:numPr>
          <w:ilvl w:val="0"/>
          <w:numId w:val="3"/>
        </w:numPr>
        <w:autoSpaceDE w:val="0"/>
        <w:autoSpaceDN w:val="0"/>
        <w:rPr>
          <w:szCs w:val="24"/>
        </w:rPr>
      </w:pPr>
      <w:r>
        <w:rPr>
          <w:szCs w:val="24"/>
        </w:rPr>
        <w:t>T</w:t>
      </w:r>
      <w:r w:rsidRPr="003807AC">
        <w:rPr>
          <w:szCs w:val="24"/>
        </w:rPr>
        <w:t>o have the finite element model</w:t>
      </w:r>
      <w:r>
        <w:rPr>
          <w:szCs w:val="24"/>
        </w:rPr>
        <w:t>s</w:t>
      </w:r>
      <w:r w:rsidRPr="003807AC">
        <w:rPr>
          <w:szCs w:val="24"/>
        </w:rPr>
        <w:t xml:space="preserve"> utilize the LS-DYNA simulation code, incorporate sufficient rear seat geometry to support evaluation of seat back rotation/deformation into the region occupied by a rear seat occupant, carry out </w:t>
      </w:r>
      <w:r>
        <w:rPr>
          <w:szCs w:val="24"/>
        </w:rPr>
        <w:t>s</w:t>
      </w:r>
      <w:r w:rsidRPr="003807AC">
        <w:rPr>
          <w:szCs w:val="24"/>
        </w:rPr>
        <w:t>tatic and dynamic testing of an actual seat to support validation of the resulting finite element model, and make the model publicly available upon completion of this Task Order.</w:t>
      </w:r>
    </w:p>
    <w:p w:rsidR="007E7EF9" w:rsidRDefault="007E7EF9" w:rsidP="00E310F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7E7EF9" w:rsidRDefault="007E7EF9" w:rsidP="00E310F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E186F">
        <w:rPr>
          <w:rFonts w:eastAsia="Calibri"/>
          <w:szCs w:val="24"/>
        </w:rPr>
        <w:t xml:space="preserve">This report summarizes the work performed under contract </w:t>
      </w:r>
      <w:r w:rsidRPr="00CA66D9">
        <w:t>DTNH22-15-D-00006</w:t>
      </w:r>
      <w:r>
        <w:t xml:space="preserve"> / </w:t>
      </w:r>
      <w:r w:rsidRPr="00CA66D9">
        <w:t>DTNH22-1</w:t>
      </w:r>
      <w:r>
        <w:t>7-F</w:t>
      </w:r>
      <w:r w:rsidRPr="00CA66D9">
        <w:t>-00</w:t>
      </w:r>
      <w:r>
        <w:t xml:space="preserve">118 </w:t>
      </w:r>
      <w:r w:rsidRPr="00AE186F">
        <w:rPr>
          <w:rFonts w:eastAsia="Calibri"/>
          <w:szCs w:val="24"/>
        </w:rPr>
        <w:t>which includes the following Tasks:</w:t>
      </w:r>
    </w:p>
    <w:p w:rsidR="007E7EF9" w:rsidRDefault="007E7EF9" w:rsidP="007E7EF9">
      <w:pPr>
        <w:pStyle w:val="ListParagraph"/>
        <w:numPr>
          <w:ilvl w:val="0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Front seat model development for two seats</w:t>
      </w:r>
    </w:p>
    <w:p w:rsidR="007E7EF9" w:rsidRDefault="007E7EF9" w:rsidP="007E7EF9">
      <w:pPr>
        <w:pStyle w:val="ListParagraph"/>
        <w:numPr>
          <w:ilvl w:val="1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Front seat with manual adjuster</w:t>
      </w:r>
    </w:p>
    <w:p w:rsidR="007E7EF9" w:rsidRPr="00AE186F" w:rsidRDefault="007E7EF9" w:rsidP="007E7EF9">
      <w:pPr>
        <w:pStyle w:val="ListParagraph"/>
        <w:numPr>
          <w:ilvl w:val="1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Front seat with power adjuster</w:t>
      </w:r>
    </w:p>
    <w:p w:rsidR="007E7EF9" w:rsidRDefault="007E7EF9" w:rsidP="007E7EF9">
      <w:pPr>
        <w:pStyle w:val="ListParagraph"/>
        <w:numPr>
          <w:ilvl w:val="0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Validation of front seat models</w:t>
      </w:r>
    </w:p>
    <w:p w:rsidR="007E7EF9" w:rsidRDefault="007E7EF9" w:rsidP="007E7EF9">
      <w:pPr>
        <w:pStyle w:val="ListParagraph"/>
        <w:numPr>
          <w:ilvl w:val="1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Quasi-static seat back pull test correlation</w:t>
      </w:r>
    </w:p>
    <w:p w:rsidR="007E7EF9" w:rsidRDefault="007E7EF9" w:rsidP="007E7EF9">
      <w:pPr>
        <w:pStyle w:val="ListParagraph"/>
        <w:numPr>
          <w:ilvl w:val="1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FMVSS 301 rear impact high speed sled test comparison</w:t>
      </w:r>
    </w:p>
    <w:p w:rsidR="007E7EF9" w:rsidRPr="00AE186F" w:rsidRDefault="007E7EF9" w:rsidP="007E7EF9">
      <w:pPr>
        <w:pStyle w:val="ListParagraph"/>
        <w:numPr>
          <w:ilvl w:val="0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FMVSS 301 Sled Simulation with rear seat passenger</w:t>
      </w:r>
    </w:p>
    <w:p w:rsidR="007E7EF9" w:rsidRPr="00AE186F" w:rsidRDefault="007E7EF9" w:rsidP="007E7EF9">
      <w:pPr>
        <w:pStyle w:val="ListParagraph"/>
        <w:numPr>
          <w:ilvl w:val="0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Front seat back strength analysis and design improvement</w:t>
      </w:r>
    </w:p>
    <w:p w:rsidR="007E7EF9" w:rsidRDefault="007E7EF9" w:rsidP="007E7EF9">
      <w:pPr>
        <w:pStyle w:val="ListParagraph"/>
        <w:numPr>
          <w:ilvl w:val="0"/>
          <w:numId w:val="2"/>
        </w:numPr>
        <w:autoSpaceDE w:val="0"/>
        <w:autoSpaceDN w:val="0"/>
        <w:rPr>
          <w:szCs w:val="24"/>
          <w:lang w:val="en-US"/>
        </w:rPr>
      </w:pPr>
      <w:r>
        <w:rPr>
          <w:szCs w:val="24"/>
          <w:lang w:val="en-US"/>
        </w:rPr>
        <w:t>Cost impact study on design improved seat</w:t>
      </w:r>
    </w:p>
    <w:p w:rsidR="007E7EF9" w:rsidRDefault="007E7EF9" w:rsidP="005A674D">
      <w:pPr>
        <w:autoSpaceDE w:val="0"/>
        <w:autoSpaceDN w:val="0"/>
        <w:rPr>
          <w:szCs w:val="24"/>
        </w:rPr>
      </w:pPr>
    </w:p>
    <w:p w:rsidR="007E7EF9" w:rsidRDefault="007E7EF9" w:rsidP="00050443">
      <w:pPr>
        <w:sectPr w:rsidR="007E7EF9" w:rsidSect="00050443">
          <w:type w:val="continuous"/>
          <w:pgSz w:w="12240" w:h="15840"/>
          <w:pgMar w:top="300" w:right="1440" w:bottom="1440" w:left="1440" w:header="720" w:footer="720" w:gutter="0"/>
          <w:cols w:space="720"/>
        </w:sectPr>
      </w:pPr>
    </w:p>
    <w:p w:rsidR="00CB3AD7" w:rsidRDefault="00CB3AD7"/>
    <w:sectPr w:rsidR="00CB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D7" w:rsidRDefault="00CB3AD7" w:rsidP="007E7EF9">
      <w:pPr>
        <w:spacing w:after="0" w:line="240" w:lineRule="auto"/>
      </w:pPr>
      <w:r>
        <w:separator/>
      </w:r>
    </w:p>
  </w:endnote>
  <w:endnote w:type="continuationSeparator" w:id="0">
    <w:p w:rsidR="00CB3AD7" w:rsidRDefault="00CB3AD7" w:rsidP="007E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D7" w:rsidRDefault="00CB3AD7" w:rsidP="007E7EF9">
      <w:pPr>
        <w:spacing w:after="0" w:line="240" w:lineRule="auto"/>
      </w:pPr>
      <w:r>
        <w:separator/>
      </w:r>
    </w:p>
  </w:footnote>
  <w:footnote w:type="continuationSeparator" w:id="0">
    <w:p w:rsidR="00CB3AD7" w:rsidRDefault="00CB3AD7" w:rsidP="007E7EF9">
      <w:pPr>
        <w:spacing w:after="0" w:line="240" w:lineRule="auto"/>
      </w:pPr>
      <w:r>
        <w:continuationSeparator/>
      </w:r>
    </w:p>
  </w:footnote>
  <w:footnote w:id="1">
    <w:p w:rsidR="007E7EF9" w:rsidRDefault="007E7EF9" w:rsidP="003C422E">
      <w:pPr>
        <w:autoSpaceDE w:val="0"/>
        <w:autoSpaceDN w:val="0"/>
        <w:adjustRightInd w:val="0"/>
        <w:rPr>
          <w:rFonts w:eastAsia="Calibri"/>
          <w:color w:val="0000FF"/>
          <w:sz w:val="20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835C1">
          <w:rPr>
            <w:rStyle w:val="Hyperlink"/>
            <w:rFonts w:eastAsia="Calibri"/>
            <w:sz w:val="20"/>
          </w:rPr>
          <w:t>https://www-nrd.nhtsa.dot.gov/departments/esv/17th/</w:t>
        </w:r>
      </w:hyperlink>
      <w:r>
        <w:rPr>
          <w:rFonts w:eastAsia="Calibri"/>
          <w:color w:val="0000FF"/>
          <w:sz w:val="20"/>
        </w:rPr>
        <w:t xml:space="preserve"> </w:t>
      </w:r>
    </w:p>
    <w:p w:rsidR="007E7EF9" w:rsidRDefault="007E7EF9" w:rsidP="003C422E">
      <w:pPr>
        <w:pStyle w:val="FootnoteText"/>
        <w:rPr>
          <w:rFonts w:eastAsia="Calibri"/>
          <w:color w:val="0000FF"/>
          <w:lang w:val="en-US"/>
        </w:rPr>
      </w:pPr>
      <w:r>
        <w:rPr>
          <w:rFonts w:eastAsia="Calibri"/>
          <w:color w:val="0000FF"/>
          <w:lang w:val="en-US"/>
        </w:rPr>
        <w:t xml:space="preserve">   </w:t>
      </w:r>
      <w:hyperlink r:id="rId2" w:history="1">
        <w:r w:rsidRPr="00A835C1">
          <w:rPr>
            <w:rStyle w:val="Hyperlink"/>
            <w:rFonts w:eastAsia="Calibri"/>
            <w:lang w:val="en-US"/>
          </w:rPr>
          <w:t>https://one.nhtsa.gov/Research/Public-Meetings/SAE-2003-Government-Industry-Meeting</w:t>
        </w:r>
      </w:hyperlink>
    </w:p>
    <w:p w:rsidR="007E7EF9" w:rsidRPr="006D5128" w:rsidRDefault="007E7EF9" w:rsidP="003C422E">
      <w:pPr>
        <w:pStyle w:val="FootnoteText"/>
        <w:rPr>
          <w:lang w:val="en-US"/>
        </w:rPr>
      </w:pPr>
    </w:p>
  </w:footnote>
  <w:footnote w:id="2">
    <w:p w:rsidR="007E7EF9" w:rsidRPr="006D5128" w:rsidRDefault="007E7EF9" w:rsidP="003C422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835C1">
          <w:rPr>
            <w:rStyle w:val="Hyperlink"/>
            <w:rFonts w:eastAsia="Calibri"/>
            <w:lang w:val="en-US"/>
          </w:rPr>
          <w:t>https://www.regulations.gov/</w:t>
        </w:r>
      </w:hyperlink>
      <w:r>
        <w:rPr>
          <w:rFonts w:eastAsia="Calibri"/>
          <w:color w:val="0000FF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4CE8"/>
    <w:multiLevelType w:val="multilevel"/>
    <w:tmpl w:val="2AF09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963890"/>
    <w:multiLevelType w:val="hybridMultilevel"/>
    <w:tmpl w:val="A4E2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B3809"/>
    <w:multiLevelType w:val="hybridMultilevel"/>
    <w:tmpl w:val="DFBE06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F9"/>
    <w:rsid w:val="007E7EF9"/>
    <w:rsid w:val="00C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1FFB9D9-CD70-4A22-B81C-3ACEBE9D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7EF9"/>
    <w:pPr>
      <w:keepNext/>
      <w:keepLines/>
      <w:numPr>
        <w:numId w:val="1"/>
      </w:numPr>
      <w:pBdr>
        <w:bottom w:val="single" w:sz="4" w:space="1" w:color="auto"/>
      </w:pBdr>
      <w:shd w:val="clear" w:color="auto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CA"/>
    </w:rPr>
  </w:style>
  <w:style w:type="paragraph" w:styleId="Heading2">
    <w:name w:val="heading 2"/>
    <w:aliases w:val="Heading 2.1"/>
    <w:basedOn w:val="Normal"/>
    <w:next w:val="Normal"/>
    <w:link w:val="Heading2Char"/>
    <w:autoRedefine/>
    <w:unhideWhenUsed/>
    <w:qFormat/>
    <w:rsid w:val="007E7EF9"/>
    <w:pPr>
      <w:keepNext/>
      <w:keepLines/>
      <w:numPr>
        <w:ilvl w:val="1"/>
        <w:numId w:val="1"/>
      </w:numPr>
      <w:spacing w:after="120" w:line="240" w:lineRule="auto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E7EF9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7E7EF9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Cs/>
      <w:color w:val="000000"/>
      <w:sz w:val="24"/>
      <w:szCs w:val="20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7EF9"/>
    <w:pPr>
      <w:keepNext/>
      <w:numPr>
        <w:ilvl w:val="5"/>
        <w:numId w:val="1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CA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7E7EF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E7EF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7E7EF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7E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CA"/>
    </w:rPr>
  </w:style>
  <w:style w:type="character" w:customStyle="1" w:styleId="Heading2Char">
    <w:name w:val="Heading 2 Char"/>
    <w:aliases w:val="Heading 2.1 Char"/>
    <w:link w:val="Heading2"/>
    <w:rsid w:val="007E7EF9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E7EF9"/>
    <w:rPr>
      <w:rFonts w:ascii="Times New Roman" w:eastAsia="Times New Roman" w:hAnsi="Times New Roman" w:cs="Times New Roman"/>
      <w:b/>
      <w:bCs/>
      <w:sz w:val="24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7E7EF9"/>
    <w:rPr>
      <w:rFonts w:ascii="Times New Roman" w:eastAsia="Times New Roman" w:hAnsi="Times New Roman" w:cs="Times New Roman"/>
      <w:b/>
      <w:bCs/>
      <w:iCs/>
      <w:color w:val="000000"/>
      <w:sz w:val="24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7E7EF9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rsid w:val="007E7EF9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rsid w:val="007E7EF9"/>
    <w:rPr>
      <w:rFonts w:ascii="Calibri" w:eastAsia="Times New Roman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9"/>
    <w:rsid w:val="007E7EF9"/>
    <w:rPr>
      <w:rFonts w:ascii="Cambria" w:eastAsia="Times New Roman" w:hAnsi="Cambria" w:cs="Times New Roman"/>
      <w:sz w:val="20"/>
      <w:szCs w:val="20"/>
      <w:lang w:val="en-CA"/>
    </w:rPr>
  </w:style>
  <w:style w:type="character" w:styleId="Hyperlink">
    <w:name w:val="Hyperlink"/>
    <w:uiPriority w:val="99"/>
    <w:unhideWhenUsed/>
    <w:rsid w:val="007E7E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EF9"/>
    <w:pPr>
      <w:widowControl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rsid w:val="007E7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FootnoteTextChar">
    <w:name w:val="Footnote Text Char"/>
    <w:link w:val="FootnoteText"/>
    <w:uiPriority w:val="99"/>
    <w:rsid w:val="007E7EF9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rsid w:val="007E7E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gulations.gov/" TargetMode="External"/><Relationship Id="rId2" Type="http://schemas.openxmlformats.org/officeDocument/2006/relationships/hyperlink" Target="https://one.nhtsa.gov/Research/Public-Meetings/SAE-2003-Government-Industry-Meeting" TargetMode="External"/><Relationship Id="rId1" Type="http://schemas.openxmlformats.org/officeDocument/2006/relationships/hyperlink" Target="https://www-nrd.nhtsa.dot.gov/departments/esv/17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Laura CTR (NHTSA)</dc:creator>
  <cp:keywords/>
  <dc:description/>
  <cp:lastModifiedBy/>
  <cp:revision>1</cp:revision>
  <dcterms:created xsi:type="dcterms:W3CDTF">2018-11-29T21:37:00Z</dcterms:created>
</cp:coreProperties>
</file>